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FB" w:rsidRPr="00D71BAE" w:rsidRDefault="0047719D" w:rsidP="005F1AFB">
      <w:pPr>
        <w:spacing w:after="0" w:line="480" w:lineRule="auto"/>
        <w:rPr>
          <w:rFonts w:ascii="Times New Roman" w:hAnsi="Times New Roman" w:cs="Times New Roman"/>
          <w:sz w:val="24"/>
          <w:szCs w:val="24"/>
        </w:rPr>
      </w:pPr>
      <w:r w:rsidRPr="00D71BAE">
        <w:rPr>
          <w:rFonts w:ascii="Times New Roman" w:hAnsi="Times New Roman" w:cs="Times New Roman"/>
          <w:b/>
          <w:sz w:val="24"/>
          <w:szCs w:val="24"/>
        </w:rPr>
        <w:t xml:space="preserve">Additional File 1. </w:t>
      </w:r>
      <w:r w:rsidR="005F1AFB" w:rsidRPr="00D71BAE">
        <w:rPr>
          <w:rFonts w:ascii="Times New Roman" w:hAnsi="Times New Roman" w:cs="Times New Roman"/>
          <w:sz w:val="24"/>
          <w:szCs w:val="24"/>
        </w:rPr>
        <w:t>Materials and Methods, Supplementary Information</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r>
      <w:r w:rsidRPr="00D71BAE">
        <w:rPr>
          <w:rFonts w:ascii="Times New Roman" w:hAnsi="Times New Roman" w:cs="Times New Roman"/>
          <w:i/>
          <w:sz w:val="24"/>
          <w:szCs w:val="24"/>
        </w:rPr>
        <w:t>Sample Preparation for Proteomics Analysis.</w:t>
      </w:r>
      <w:r w:rsidRPr="00D71BAE">
        <w:rPr>
          <w:rFonts w:ascii="Times New Roman" w:hAnsi="Times New Roman" w:cs="Times New Roman"/>
          <w:sz w:val="24"/>
          <w:szCs w:val="24"/>
        </w:rPr>
        <w:t xml:space="preserve"> The BALF was filtered through sterile gauze and centrifuged at approximately 300 x </w:t>
      </w:r>
      <w:r w:rsidRPr="00D71BAE">
        <w:rPr>
          <w:rFonts w:ascii="Times New Roman" w:hAnsi="Times New Roman" w:cs="Times New Roman"/>
          <w:i/>
          <w:sz w:val="24"/>
          <w:szCs w:val="24"/>
        </w:rPr>
        <w:t>g</w:t>
      </w:r>
      <w:r w:rsidRPr="00D71BAE">
        <w:rPr>
          <w:rFonts w:ascii="Times New Roman" w:hAnsi="Times New Roman" w:cs="Times New Roman"/>
          <w:sz w:val="24"/>
          <w:szCs w:val="24"/>
        </w:rPr>
        <w:t xml:space="preserve"> for 10 minutes. The cell-free supernatant was stored at -80 </w:t>
      </w:r>
      <w:proofErr w:type="spellStart"/>
      <w:r w:rsidRPr="00D71BAE">
        <w:rPr>
          <w:rFonts w:ascii="Times New Roman" w:hAnsi="Times New Roman" w:cs="Times New Roman"/>
          <w:sz w:val="24"/>
          <w:szCs w:val="24"/>
          <w:vertAlign w:val="superscript"/>
        </w:rPr>
        <w:t>o</w:t>
      </w:r>
      <w:r w:rsidRPr="00D71BAE">
        <w:rPr>
          <w:rFonts w:ascii="Times New Roman" w:hAnsi="Times New Roman" w:cs="Times New Roman"/>
          <w:sz w:val="24"/>
          <w:szCs w:val="24"/>
        </w:rPr>
        <w:t>C</w:t>
      </w:r>
      <w:proofErr w:type="spellEnd"/>
      <w:r w:rsidRPr="00D71BAE">
        <w:rPr>
          <w:rFonts w:ascii="Times New Roman" w:hAnsi="Times New Roman" w:cs="Times New Roman"/>
          <w:sz w:val="24"/>
          <w:szCs w:val="24"/>
        </w:rPr>
        <w:t xml:space="preserve"> in 1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aliquots until further analysis. Protein concentration in the BALF supernatant was measured with a BCA Assay,</w:t>
      </w:r>
      <w:r w:rsidRPr="00D71BAE">
        <w:rPr>
          <w:rFonts w:ascii="Times New Roman" w:hAnsi="Times New Roman" w:cs="Times New Roman"/>
          <w:sz w:val="24"/>
          <w:szCs w:val="24"/>
          <w:vertAlign w:val="superscript"/>
        </w:rPr>
        <w:endnoteReference w:id="1"/>
      </w:r>
      <w:r w:rsidRPr="00D71BAE">
        <w:rPr>
          <w:rFonts w:ascii="Times New Roman" w:hAnsi="Times New Roman" w:cs="Times New Roman"/>
          <w:sz w:val="24"/>
          <w:szCs w:val="24"/>
        </w:rPr>
        <w:t xml:space="preserve"> according to manufacturer’s protocol. Protein standards were prepared using bovine serum albumin (BSA) included in the BCA Assay kit; sodium chloride (0.9% in dH</w:t>
      </w:r>
      <w:r w:rsidRPr="00D71BAE">
        <w:rPr>
          <w:rFonts w:ascii="Times New Roman" w:hAnsi="Times New Roman" w:cs="Times New Roman"/>
          <w:sz w:val="24"/>
          <w:szCs w:val="24"/>
          <w:vertAlign w:val="subscript"/>
        </w:rPr>
        <w:t>2</w:t>
      </w:r>
      <w:r w:rsidRPr="00D71BAE">
        <w:rPr>
          <w:rFonts w:ascii="Times New Roman" w:hAnsi="Times New Roman" w:cs="Times New Roman"/>
          <w:sz w:val="24"/>
          <w:szCs w:val="24"/>
        </w:rPr>
        <w:t xml:space="preserve">O) was used as a blank. Measurements were performed in triplicate. The three measurements for each sample were averaged, and this value was used as the absorbance for that sample. The absorbance of the blank was subtracted from each standard and sample. A standard concentration curve was generated using the BSA protein standards. The linear equation of the </w:t>
      </w:r>
      <w:proofErr w:type="spellStart"/>
      <w:r w:rsidRPr="00D71BAE">
        <w:rPr>
          <w:rFonts w:ascii="Times New Roman" w:hAnsi="Times New Roman" w:cs="Times New Roman"/>
          <w:sz w:val="24"/>
          <w:szCs w:val="24"/>
        </w:rPr>
        <w:t>trendline</w:t>
      </w:r>
      <w:proofErr w:type="spellEnd"/>
      <w:r w:rsidRPr="00D71BAE">
        <w:rPr>
          <w:rFonts w:ascii="Times New Roman" w:hAnsi="Times New Roman" w:cs="Times New Roman"/>
          <w:sz w:val="24"/>
          <w:szCs w:val="24"/>
        </w:rPr>
        <w:t xml:space="preserve"> was calculated, and the concentration of each sample was calculated from this equation.</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t xml:space="preserve">For each BALF sample, the volume of fluid containing 100 µg of protein was mixed with cold acetone (three times the volume of sample) and incubated at -20 </w:t>
      </w:r>
      <w:proofErr w:type="spellStart"/>
      <w:r w:rsidRPr="00D71BAE">
        <w:rPr>
          <w:rFonts w:ascii="Times New Roman" w:hAnsi="Times New Roman" w:cs="Times New Roman"/>
          <w:sz w:val="24"/>
          <w:szCs w:val="24"/>
          <w:vertAlign w:val="superscript"/>
        </w:rPr>
        <w:t>o</w:t>
      </w:r>
      <w:r w:rsidRPr="00D71BAE">
        <w:rPr>
          <w:rFonts w:ascii="Times New Roman" w:hAnsi="Times New Roman" w:cs="Times New Roman"/>
          <w:sz w:val="24"/>
          <w:szCs w:val="24"/>
        </w:rPr>
        <w:t>C</w:t>
      </w:r>
      <w:proofErr w:type="spellEnd"/>
      <w:r w:rsidRPr="00D71BAE">
        <w:rPr>
          <w:rFonts w:ascii="Times New Roman" w:hAnsi="Times New Roman" w:cs="Times New Roman"/>
          <w:sz w:val="24"/>
          <w:szCs w:val="24"/>
        </w:rPr>
        <w:t xml:space="preserve"> for 30 minutes to precipitate proteins. The samples were centrifuged for two minutes to concentrate the protein, and the supernatant was discarded. The samples were lyophilized to complete dryness (approximately 15 minutes). </w:t>
      </w:r>
      <w:proofErr w:type="spellStart"/>
      <w:r w:rsidRPr="00D71BAE">
        <w:rPr>
          <w:rFonts w:ascii="Times New Roman" w:hAnsi="Times New Roman" w:cs="Times New Roman"/>
          <w:sz w:val="24"/>
          <w:szCs w:val="24"/>
        </w:rPr>
        <w:t>Trypsin</w:t>
      </w:r>
      <w:proofErr w:type="spellEnd"/>
      <w:r w:rsidRPr="00D71BAE">
        <w:rPr>
          <w:rFonts w:ascii="Times New Roman" w:hAnsi="Times New Roman" w:cs="Times New Roman"/>
          <w:sz w:val="24"/>
          <w:szCs w:val="24"/>
        </w:rPr>
        <w:t xml:space="preserve"> digestion was performed according to standard laboratory protocol. </w:t>
      </w:r>
      <w:proofErr w:type="spellStart"/>
      <w:r w:rsidRPr="00D71BAE">
        <w:rPr>
          <w:rFonts w:ascii="Times New Roman" w:hAnsi="Times New Roman" w:cs="Times New Roman"/>
          <w:sz w:val="24"/>
          <w:szCs w:val="24"/>
        </w:rPr>
        <w:t>Denaturation</w:t>
      </w:r>
      <w:proofErr w:type="spellEnd"/>
      <w:r w:rsidRPr="00D71BAE">
        <w:rPr>
          <w:rFonts w:ascii="Times New Roman" w:hAnsi="Times New Roman" w:cs="Times New Roman"/>
          <w:sz w:val="24"/>
          <w:szCs w:val="24"/>
        </w:rPr>
        <w:t xml:space="preserve"> solution (10 µL of a solution of 8M urea with 10mM </w:t>
      </w:r>
      <w:proofErr w:type="spellStart"/>
      <w:r w:rsidRPr="00D71BAE">
        <w:rPr>
          <w:rFonts w:ascii="Times New Roman" w:hAnsi="Times New Roman" w:cs="Times New Roman"/>
          <w:sz w:val="24"/>
          <w:szCs w:val="24"/>
        </w:rPr>
        <w:t>dithiothreitol</w:t>
      </w:r>
      <w:proofErr w:type="spellEnd"/>
      <w:r w:rsidRPr="00D71BAE">
        <w:rPr>
          <w:rFonts w:ascii="Times New Roman" w:hAnsi="Times New Roman" w:cs="Times New Roman"/>
          <w:sz w:val="24"/>
          <w:szCs w:val="24"/>
        </w:rPr>
        <w:t xml:space="preserve"> in 10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dH</w:t>
      </w:r>
      <w:r w:rsidRPr="00D71BAE">
        <w:rPr>
          <w:rFonts w:ascii="Times New Roman" w:hAnsi="Times New Roman" w:cs="Times New Roman"/>
          <w:sz w:val="24"/>
          <w:szCs w:val="24"/>
          <w:vertAlign w:val="subscript"/>
        </w:rPr>
        <w:t>2</w:t>
      </w:r>
      <w:r w:rsidRPr="00D71BAE">
        <w:rPr>
          <w:rFonts w:ascii="Times New Roman" w:hAnsi="Times New Roman" w:cs="Times New Roman"/>
          <w:sz w:val="24"/>
          <w:szCs w:val="24"/>
        </w:rPr>
        <w:t xml:space="preserve">O) was added to each sample and incubated for 90 minutes at 37 </w:t>
      </w:r>
      <w:proofErr w:type="spellStart"/>
      <w:r w:rsidRPr="00D71BAE">
        <w:rPr>
          <w:rFonts w:ascii="Times New Roman" w:hAnsi="Times New Roman" w:cs="Times New Roman"/>
          <w:sz w:val="24"/>
          <w:szCs w:val="24"/>
          <w:vertAlign w:val="superscript"/>
        </w:rPr>
        <w:t>o</w:t>
      </w:r>
      <w:r w:rsidRPr="00D71BAE">
        <w:rPr>
          <w:rFonts w:ascii="Times New Roman" w:hAnsi="Times New Roman" w:cs="Times New Roman"/>
          <w:sz w:val="24"/>
          <w:szCs w:val="24"/>
        </w:rPr>
        <w:t>C.</w:t>
      </w:r>
      <w:proofErr w:type="spellEnd"/>
      <w:r w:rsidRPr="00D71BAE">
        <w:rPr>
          <w:rFonts w:ascii="Times New Roman" w:hAnsi="Times New Roman" w:cs="Times New Roman"/>
          <w:sz w:val="24"/>
          <w:szCs w:val="24"/>
        </w:rPr>
        <w:t xml:space="preserve"> Ammonium bicarbonate</w:t>
      </w:r>
      <w:r w:rsidRPr="00D71BAE">
        <w:rPr>
          <w:rFonts w:ascii="Times New Roman" w:hAnsi="Times New Roman" w:cs="Times New Roman"/>
          <w:sz w:val="24"/>
          <w:szCs w:val="24"/>
          <w:vertAlign w:val="superscript"/>
        </w:rPr>
        <w:t xml:space="preserve"> </w:t>
      </w:r>
      <w:r w:rsidRPr="00D71BAE">
        <w:rPr>
          <w:rFonts w:ascii="Times New Roman" w:hAnsi="Times New Roman" w:cs="Times New Roman"/>
          <w:sz w:val="24"/>
          <w:szCs w:val="24"/>
        </w:rPr>
        <w:t xml:space="preserve">(100 </w:t>
      </w:r>
      <w:proofErr w:type="spellStart"/>
      <w:r w:rsidRPr="00D71BAE">
        <w:rPr>
          <w:rFonts w:ascii="Times New Roman" w:hAnsi="Times New Roman" w:cs="Times New Roman"/>
          <w:sz w:val="24"/>
          <w:szCs w:val="24"/>
        </w:rPr>
        <w:t>mM</w:t>
      </w:r>
      <w:proofErr w:type="spellEnd"/>
      <w:r w:rsidRPr="00D71BAE">
        <w:rPr>
          <w:rFonts w:ascii="Times New Roman" w:hAnsi="Times New Roman" w:cs="Times New Roman"/>
          <w:sz w:val="24"/>
          <w:szCs w:val="24"/>
        </w:rPr>
        <w:t xml:space="preserve">, 2 µL) and reducing cocktail (10 µL of a solution of 195 µL </w:t>
      </w:r>
      <w:proofErr w:type="spellStart"/>
      <w:r w:rsidRPr="00D71BAE">
        <w:rPr>
          <w:rFonts w:ascii="Times New Roman" w:hAnsi="Times New Roman" w:cs="Times New Roman"/>
          <w:sz w:val="24"/>
          <w:szCs w:val="24"/>
        </w:rPr>
        <w:t>acetonitrile</w:t>
      </w:r>
      <w:proofErr w:type="spellEnd"/>
      <w:r w:rsidRPr="00D71BAE">
        <w:rPr>
          <w:rFonts w:ascii="Times New Roman" w:hAnsi="Times New Roman" w:cs="Times New Roman"/>
          <w:sz w:val="24"/>
          <w:szCs w:val="24"/>
        </w:rPr>
        <w:t xml:space="preserve">, 1 µL </w:t>
      </w:r>
      <w:proofErr w:type="spellStart"/>
      <w:r w:rsidRPr="00D71BAE">
        <w:rPr>
          <w:rFonts w:ascii="Times New Roman" w:hAnsi="Times New Roman" w:cs="Times New Roman"/>
          <w:sz w:val="24"/>
          <w:szCs w:val="24"/>
        </w:rPr>
        <w:t>triethylphosphine</w:t>
      </w:r>
      <w:proofErr w:type="spellEnd"/>
      <w:r w:rsidRPr="00D71BAE">
        <w:rPr>
          <w:rFonts w:ascii="Times New Roman" w:hAnsi="Times New Roman" w:cs="Times New Roman"/>
          <w:sz w:val="24"/>
          <w:szCs w:val="24"/>
        </w:rPr>
        <w:t xml:space="preserve">, and 4 µL 2-iodoethanol) were added to each sample and incubated at 37 </w:t>
      </w:r>
      <w:proofErr w:type="spellStart"/>
      <w:r w:rsidRPr="00D71BAE">
        <w:rPr>
          <w:rFonts w:ascii="Times New Roman" w:hAnsi="Times New Roman" w:cs="Times New Roman"/>
          <w:sz w:val="24"/>
          <w:szCs w:val="24"/>
          <w:vertAlign w:val="superscript"/>
        </w:rPr>
        <w:t>o</w:t>
      </w:r>
      <w:r w:rsidRPr="00D71BAE">
        <w:rPr>
          <w:rFonts w:ascii="Times New Roman" w:hAnsi="Times New Roman" w:cs="Times New Roman"/>
          <w:sz w:val="24"/>
          <w:szCs w:val="24"/>
        </w:rPr>
        <w:t>C</w:t>
      </w:r>
      <w:proofErr w:type="spellEnd"/>
      <w:r w:rsidRPr="00D71BAE">
        <w:rPr>
          <w:rFonts w:ascii="Times New Roman" w:hAnsi="Times New Roman" w:cs="Times New Roman"/>
          <w:sz w:val="24"/>
          <w:szCs w:val="24"/>
        </w:rPr>
        <w:t xml:space="preserve"> for 90 minutes. The samples were lyophilized overnight to complete dryness. The following day, each sample was </w:t>
      </w:r>
      <w:proofErr w:type="spellStart"/>
      <w:r w:rsidRPr="00D71BAE">
        <w:rPr>
          <w:rFonts w:ascii="Times New Roman" w:hAnsi="Times New Roman" w:cs="Times New Roman"/>
          <w:sz w:val="24"/>
          <w:szCs w:val="24"/>
        </w:rPr>
        <w:t>resuspended</w:t>
      </w:r>
      <w:proofErr w:type="spellEnd"/>
      <w:r w:rsidRPr="00D71BAE">
        <w:rPr>
          <w:rFonts w:ascii="Times New Roman" w:hAnsi="Times New Roman" w:cs="Times New Roman"/>
          <w:sz w:val="24"/>
          <w:szCs w:val="24"/>
        </w:rPr>
        <w:t xml:space="preserve"> in 80 µL of 100 </w:t>
      </w:r>
      <w:proofErr w:type="spellStart"/>
      <w:r w:rsidRPr="00D71BAE">
        <w:rPr>
          <w:rFonts w:ascii="Times New Roman" w:hAnsi="Times New Roman" w:cs="Times New Roman"/>
          <w:sz w:val="24"/>
          <w:szCs w:val="24"/>
        </w:rPr>
        <w:t>mM</w:t>
      </w:r>
      <w:proofErr w:type="spellEnd"/>
      <w:r w:rsidRPr="00D71BAE">
        <w:rPr>
          <w:rFonts w:ascii="Times New Roman" w:hAnsi="Times New Roman" w:cs="Times New Roman"/>
          <w:sz w:val="24"/>
          <w:szCs w:val="24"/>
        </w:rPr>
        <w:t xml:space="preserve"> ammonium bicarbonate. </w:t>
      </w:r>
      <w:proofErr w:type="spellStart"/>
      <w:r w:rsidRPr="00D71BAE">
        <w:rPr>
          <w:rFonts w:ascii="Times New Roman" w:hAnsi="Times New Roman" w:cs="Times New Roman"/>
          <w:sz w:val="24"/>
          <w:szCs w:val="24"/>
        </w:rPr>
        <w:t>Trypsin</w:t>
      </w:r>
      <w:proofErr w:type="spellEnd"/>
      <w:r w:rsidRPr="00D71BAE">
        <w:rPr>
          <w:rFonts w:ascii="Times New Roman" w:hAnsi="Times New Roman" w:cs="Times New Roman"/>
          <w:sz w:val="24"/>
          <w:szCs w:val="24"/>
        </w:rPr>
        <w:t xml:space="preserve"> was </w:t>
      </w:r>
      <w:r w:rsidRPr="00D71BAE">
        <w:rPr>
          <w:rFonts w:ascii="Times New Roman" w:hAnsi="Times New Roman" w:cs="Times New Roman"/>
          <w:sz w:val="24"/>
          <w:szCs w:val="24"/>
        </w:rPr>
        <w:lastRenderedPageBreak/>
        <w:t xml:space="preserve">added at a ratio of 1 gram </w:t>
      </w:r>
      <w:proofErr w:type="spellStart"/>
      <w:r w:rsidRPr="00D71BAE">
        <w:rPr>
          <w:rFonts w:ascii="Times New Roman" w:hAnsi="Times New Roman" w:cs="Times New Roman"/>
          <w:sz w:val="24"/>
          <w:szCs w:val="24"/>
        </w:rPr>
        <w:t>trypsin</w:t>
      </w:r>
      <w:proofErr w:type="spellEnd"/>
      <w:r w:rsidRPr="00D71BAE">
        <w:rPr>
          <w:rFonts w:ascii="Times New Roman" w:hAnsi="Times New Roman" w:cs="Times New Roman"/>
          <w:sz w:val="24"/>
          <w:szCs w:val="24"/>
        </w:rPr>
        <w:t xml:space="preserve"> to 50 grams protein (2 µg of 0.5 µg/µL </w:t>
      </w:r>
      <w:proofErr w:type="spellStart"/>
      <w:r w:rsidRPr="00D71BAE">
        <w:rPr>
          <w:rFonts w:ascii="Times New Roman" w:hAnsi="Times New Roman" w:cs="Times New Roman"/>
          <w:sz w:val="24"/>
          <w:szCs w:val="24"/>
        </w:rPr>
        <w:t>trypsin</w:t>
      </w:r>
      <w:proofErr w:type="spellEnd"/>
      <w:r w:rsidRPr="00D71BAE">
        <w:rPr>
          <w:rFonts w:ascii="Times New Roman" w:hAnsi="Times New Roman" w:cs="Times New Roman"/>
          <w:sz w:val="24"/>
          <w:szCs w:val="24"/>
        </w:rPr>
        <w:t xml:space="preserve">) to each sample, and incubated overnight at 37 </w:t>
      </w:r>
      <w:proofErr w:type="spellStart"/>
      <w:r w:rsidRPr="00D71BAE">
        <w:rPr>
          <w:rFonts w:ascii="Times New Roman" w:hAnsi="Times New Roman" w:cs="Times New Roman"/>
          <w:sz w:val="24"/>
          <w:szCs w:val="24"/>
          <w:vertAlign w:val="superscript"/>
        </w:rPr>
        <w:t>o</w:t>
      </w:r>
      <w:r w:rsidRPr="00D71BAE">
        <w:rPr>
          <w:rFonts w:ascii="Times New Roman" w:hAnsi="Times New Roman" w:cs="Times New Roman"/>
          <w:sz w:val="24"/>
          <w:szCs w:val="24"/>
        </w:rPr>
        <w:t>C.</w:t>
      </w:r>
      <w:proofErr w:type="spellEnd"/>
      <w:r w:rsidRPr="00D71BAE">
        <w:rPr>
          <w:rFonts w:ascii="Times New Roman" w:hAnsi="Times New Roman" w:cs="Times New Roman"/>
          <w:sz w:val="24"/>
          <w:szCs w:val="24"/>
        </w:rPr>
        <w:t xml:space="preserve"> On the final day, 1 µL of 10% </w:t>
      </w:r>
      <w:proofErr w:type="spellStart"/>
      <w:r w:rsidRPr="00D71BAE">
        <w:rPr>
          <w:rFonts w:ascii="Times New Roman" w:hAnsi="Times New Roman" w:cs="Times New Roman"/>
          <w:sz w:val="24"/>
          <w:szCs w:val="24"/>
        </w:rPr>
        <w:t>trifluoroacetic</w:t>
      </w:r>
      <w:proofErr w:type="spellEnd"/>
      <w:r w:rsidRPr="00D71BAE">
        <w:rPr>
          <w:rFonts w:ascii="Times New Roman" w:hAnsi="Times New Roman" w:cs="Times New Roman"/>
          <w:sz w:val="24"/>
          <w:szCs w:val="24"/>
        </w:rPr>
        <w:t xml:space="preserve"> acid (TFA) was added to each sample to stop the digestion after approximately 15-18 hours.  </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t>Each sample was desalted over a C18 column,</w:t>
      </w:r>
      <w:r w:rsidRPr="00D71BAE">
        <w:rPr>
          <w:rFonts w:ascii="Times New Roman" w:hAnsi="Times New Roman" w:cs="Times New Roman"/>
          <w:sz w:val="24"/>
          <w:szCs w:val="24"/>
          <w:vertAlign w:val="superscript"/>
        </w:rPr>
        <w:endnoteReference w:id="2"/>
      </w:r>
      <w:r w:rsidRPr="00D71BAE">
        <w:rPr>
          <w:rFonts w:ascii="Times New Roman" w:hAnsi="Times New Roman" w:cs="Times New Roman"/>
          <w:sz w:val="24"/>
          <w:szCs w:val="24"/>
        </w:rPr>
        <w:t xml:space="preserve"> according to standard laboratory procedure. Each C18 column was placed in a 1.5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tube and equilibrated by washing with 500 µL </w:t>
      </w:r>
      <w:proofErr w:type="spellStart"/>
      <w:r w:rsidRPr="00D71BAE">
        <w:rPr>
          <w:rFonts w:ascii="Times New Roman" w:hAnsi="Times New Roman" w:cs="Times New Roman"/>
          <w:sz w:val="24"/>
          <w:szCs w:val="24"/>
        </w:rPr>
        <w:t>acetonitrile</w:t>
      </w:r>
      <w:proofErr w:type="spellEnd"/>
      <w:r w:rsidRPr="00D71BAE">
        <w:rPr>
          <w:rFonts w:ascii="Times New Roman" w:hAnsi="Times New Roman" w:cs="Times New Roman"/>
          <w:sz w:val="24"/>
          <w:szCs w:val="24"/>
        </w:rPr>
        <w:t xml:space="preserve"> and centrifuging at 100 x g for 3 minutes. The filtrate was discarded. The column was washed twice with 500 µL dH</w:t>
      </w:r>
      <w:r w:rsidRPr="00D71BAE">
        <w:rPr>
          <w:rFonts w:ascii="Times New Roman" w:hAnsi="Times New Roman" w:cs="Times New Roman"/>
          <w:sz w:val="24"/>
          <w:szCs w:val="24"/>
          <w:vertAlign w:val="subscript"/>
        </w:rPr>
        <w:t>2</w:t>
      </w:r>
      <w:r w:rsidRPr="00D71BAE">
        <w:rPr>
          <w:rFonts w:ascii="Times New Roman" w:hAnsi="Times New Roman" w:cs="Times New Roman"/>
          <w:sz w:val="24"/>
          <w:szCs w:val="24"/>
        </w:rPr>
        <w:t xml:space="preserve">O, centrifuged at 100 x g for 3 minutes, and the fluid was discarded. The entire sample (approximately 80 µL) was added to a column, and centrifuged at 100 x g for 2 minutes; the filtrate was discarded. The column was washed twice with 200 µL 0.01% TFA in dH2O, centrifuged at 100 x g for 2 minutes, and the filtrate discarded. Each column was placed in a new 1.5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tube and washed twice with 50 µL 80% </w:t>
      </w:r>
      <w:proofErr w:type="spellStart"/>
      <w:r w:rsidRPr="00D71BAE">
        <w:rPr>
          <w:rFonts w:ascii="Times New Roman" w:hAnsi="Times New Roman" w:cs="Times New Roman"/>
          <w:sz w:val="24"/>
          <w:szCs w:val="24"/>
        </w:rPr>
        <w:t>acetonitrile</w:t>
      </w:r>
      <w:proofErr w:type="spellEnd"/>
      <w:r w:rsidRPr="00D71BAE">
        <w:rPr>
          <w:rFonts w:ascii="Times New Roman" w:hAnsi="Times New Roman" w:cs="Times New Roman"/>
          <w:sz w:val="24"/>
          <w:szCs w:val="24"/>
        </w:rPr>
        <w:t xml:space="preserve">, centrifuged at 100 x g for 2 minutes, and the filtrate was retained (sample). After the final column wash, the samples were lyophilized overnight to complete dryness. All samples were reconstituted in 100 µL of 0.01% TFA (final protein concentration estimated 1 µg/µL) before mass </w:t>
      </w:r>
      <w:proofErr w:type="spellStart"/>
      <w:r w:rsidRPr="00D71BAE">
        <w:rPr>
          <w:rFonts w:ascii="Times New Roman" w:hAnsi="Times New Roman" w:cs="Times New Roman"/>
          <w:sz w:val="24"/>
          <w:szCs w:val="24"/>
        </w:rPr>
        <w:t>spectrophometric</w:t>
      </w:r>
      <w:proofErr w:type="spellEnd"/>
      <w:r w:rsidRPr="00D71BAE">
        <w:rPr>
          <w:rFonts w:ascii="Times New Roman" w:hAnsi="Times New Roman" w:cs="Times New Roman"/>
          <w:sz w:val="24"/>
          <w:szCs w:val="24"/>
        </w:rPr>
        <w:t xml:space="preserve"> analysis. Samples were processed in batches, and the peptide solutions were stored at    -20 </w:t>
      </w:r>
      <w:proofErr w:type="spellStart"/>
      <w:r w:rsidRPr="00D71BAE">
        <w:rPr>
          <w:rFonts w:ascii="Times New Roman" w:hAnsi="Times New Roman" w:cs="Times New Roman"/>
          <w:sz w:val="24"/>
          <w:szCs w:val="24"/>
          <w:vertAlign w:val="superscript"/>
        </w:rPr>
        <w:t>o</w:t>
      </w:r>
      <w:r w:rsidRPr="00D71BAE">
        <w:rPr>
          <w:rFonts w:ascii="Times New Roman" w:hAnsi="Times New Roman" w:cs="Times New Roman"/>
          <w:sz w:val="24"/>
          <w:szCs w:val="24"/>
        </w:rPr>
        <w:t>C</w:t>
      </w:r>
      <w:proofErr w:type="spellEnd"/>
      <w:r w:rsidRPr="00D71BAE">
        <w:rPr>
          <w:rFonts w:ascii="Times New Roman" w:hAnsi="Times New Roman" w:cs="Times New Roman"/>
          <w:sz w:val="24"/>
          <w:szCs w:val="24"/>
        </w:rPr>
        <w:t xml:space="preserve"> until all samples were processed.</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r>
      <w:r w:rsidRPr="00D71BAE">
        <w:rPr>
          <w:rFonts w:ascii="Times New Roman" w:hAnsi="Times New Roman" w:cs="Times New Roman"/>
          <w:i/>
          <w:sz w:val="24"/>
          <w:szCs w:val="24"/>
        </w:rPr>
        <w:t>LC-MS Analysis.</w:t>
      </w:r>
      <w:r w:rsidRPr="00D71BAE">
        <w:rPr>
          <w:rFonts w:ascii="Times New Roman" w:hAnsi="Times New Roman" w:cs="Times New Roman"/>
          <w:sz w:val="24"/>
          <w:szCs w:val="24"/>
        </w:rPr>
        <w:t xml:space="preserve"> The peptides were separated on a </w:t>
      </w:r>
      <w:proofErr w:type="spellStart"/>
      <w:r w:rsidRPr="00D71BAE">
        <w:rPr>
          <w:rFonts w:ascii="Times New Roman" w:hAnsi="Times New Roman" w:cs="Times New Roman"/>
          <w:sz w:val="24"/>
          <w:szCs w:val="24"/>
        </w:rPr>
        <w:t>nanoLC</w:t>
      </w:r>
      <w:proofErr w:type="spellEnd"/>
      <w:r w:rsidRPr="00D71BAE">
        <w:rPr>
          <w:rFonts w:ascii="Times New Roman" w:hAnsi="Times New Roman" w:cs="Times New Roman"/>
          <w:sz w:val="24"/>
          <w:szCs w:val="24"/>
        </w:rPr>
        <w:t>-Chip system.</w:t>
      </w:r>
      <w:bookmarkStart w:id="0" w:name="_Ref270686047"/>
      <w:r w:rsidRPr="00D71BAE">
        <w:rPr>
          <w:rFonts w:ascii="Times New Roman" w:hAnsi="Times New Roman" w:cs="Times New Roman"/>
          <w:sz w:val="24"/>
          <w:szCs w:val="24"/>
          <w:vertAlign w:val="superscript"/>
        </w:rPr>
        <w:endnoteReference w:id="3"/>
      </w:r>
      <w:bookmarkEnd w:id="0"/>
      <w:r w:rsidRPr="00D71BAE">
        <w:rPr>
          <w:rFonts w:ascii="Times New Roman" w:hAnsi="Times New Roman" w:cs="Times New Roman"/>
          <w:sz w:val="24"/>
          <w:szCs w:val="24"/>
        </w:rPr>
        <w:t xml:space="preserve"> After injection of 1 µg of sample, the peptides were concentrated in the on-chip 300SB-C18 enrichment column and washed with buffer A (5% </w:t>
      </w:r>
      <w:proofErr w:type="spellStart"/>
      <w:r w:rsidRPr="00D71BAE">
        <w:rPr>
          <w:rFonts w:ascii="Times New Roman" w:hAnsi="Times New Roman" w:cs="Times New Roman"/>
          <w:sz w:val="24"/>
          <w:szCs w:val="24"/>
        </w:rPr>
        <w:t>acetonitrile</w:t>
      </w:r>
      <w:proofErr w:type="spellEnd"/>
      <w:r w:rsidRPr="00D71BAE">
        <w:rPr>
          <w:rFonts w:ascii="Times New Roman" w:hAnsi="Times New Roman" w:cs="Times New Roman"/>
          <w:sz w:val="24"/>
          <w:szCs w:val="24"/>
        </w:rPr>
        <w:t xml:space="preserve">, ACN/0.01% TFA) at a flow rate of 4 </w:t>
      </w:r>
      <w:r w:rsidRPr="00D71BAE">
        <w:rPr>
          <w:rFonts w:ascii="Times New Roman" w:hAnsi="Times New Roman" w:cs="Times New Roman"/>
          <w:sz w:val="24"/>
          <w:szCs w:val="24"/>
        </w:rPr>
        <w:sym w:font="Symbol" w:char="F06D"/>
      </w:r>
      <w:r w:rsidRPr="00D71BAE">
        <w:rPr>
          <w:rFonts w:ascii="Times New Roman" w:hAnsi="Times New Roman" w:cs="Times New Roman"/>
          <w:sz w:val="24"/>
          <w:szCs w:val="24"/>
        </w:rPr>
        <w:t xml:space="preserve">l/min for 5 minutes. The enrichment column was switched into the </w:t>
      </w:r>
      <w:proofErr w:type="spellStart"/>
      <w:r w:rsidRPr="00D71BAE">
        <w:rPr>
          <w:rFonts w:ascii="Times New Roman" w:hAnsi="Times New Roman" w:cs="Times New Roman"/>
          <w:sz w:val="24"/>
          <w:szCs w:val="24"/>
        </w:rPr>
        <w:t>nano</w:t>
      </w:r>
      <w:proofErr w:type="spellEnd"/>
      <w:r w:rsidRPr="00D71BAE">
        <w:rPr>
          <w:rFonts w:ascii="Times New Roman" w:hAnsi="Times New Roman" w:cs="Times New Roman"/>
          <w:sz w:val="24"/>
          <w:szCs w:val="24"/>
        </w:rPr>
        <w:t xml:space="preserve"> flow path and further separated with the on-chip C-18 reversed phase column (0.075 µm x 43 mm)</w:t>
      </w:r>
      <w:fldSimple w:instr=" NOTEREF _Ref270686047 \h  \* MERGEFORMAT ">
        <w:r w:rsidRPr="00D71BAE">
          <w:rPr>
            <w:sz w:val="24"/>
            <w:szCs w:val="24"/>
            <w:vertAlign w:val="superscript"/>
          </w:rPr>
          <w:t>c</w:t>
        </w:r>
      </w:fldSimple>
      <w:r w:rsidRPr="00D71BAE">
        <w:rPr>
          <w:rFonts w:ascii="Times New Roman" w:hAnsi="Times New Roman" w:cs="Times New Roman"/>
          <w:sz w:val="24"/>
          <w:szCs w:val="24"/>
        </w:rPr>
        <w:t xml:space="preserve"> coupled to the </w:t>
      </w:r>
      <w:proofErr w:type="spellStart"/>
      <w:r w:rsidRPr="00D71BAE">
        <w:rPr>
          <w:rFonts w:ascii="Times New Roman" w:hAnsi="Times New Roman" w:cs="Times New Roman"/>
          <w:sz w:val="24"/>
          <w:szCs w:val="24"/>
        </w:rPr>
        <w:t>electrospray</w:t>
      </w:r>
      <w:proofErr w:type="spellEnd"/>
      <w:r w:rsidRPr="00D71BAE">
        <w:rPr>
          <w:rFonts w:ascii="Times New Roman" w:hAnsi="Times New Roman" w:cs="Times New Roman"/>
          <w:sz w:val="24"/>
          <w:szCs w:val="24"/>
        </w:rPr>
        <w:t xml:space="preserve"> ionization (ESI) source of the ion trap mass spectrometer (XCT Plus).</w:t>
      </w:r>
      <w:fldSimple w:instr=" NOTEREF _Ref270686047 \h  \* MERGEFORMAT ">
        <w:r w:rsidRPr="00D71BAE">
          <w:rPr>
            <w:sz w:val="24"/>
            <w:szCs w:val="24"/>
            <w:vertAlign w:val="superscript"/>
          </w:rPr>
          <w:t>c</w:t>
        </w:r>
      </w:fldSimple>
      <w:r w:rsidRPr="00D71BAE">
        <w:rPr>
          <w:rFonts w:ascii="Times New Roman" w:hAnsi="Times New Roman" w:cs="Times New Roman"/>
          <w:sz w:val="24"/>
          <w:szCs w:val="24"/>
        </w:rPr>
        <w:t xml:space="preserve"> The column was eluted with a 55 minute linear gradient from 5%-35% buffer B (100% </w:t>
      </w:r>
      <w:proofErr w:type="spellStart"/>
      <w:r w:rsidRPr="00D71BAE">
        <w:rPr>
          <w:rFonts w:ascii="Times New Roman" w:hAnsi="Times New Roman" w:cs="Times New Roman"/>
          <w:sz w:val="24"/>
          <w:szCs w:val="24"/>
        </w:rPr>
        <w:t>acetonitrile</w:t>
      </w:r>
      <w:proofErr w:type="spellEnd"/>
      <w:r w:rsidRPr="00D71BAE">
        <w:rPr>
          <w:rFonts w:ascii="Times New Roman" w:hAnsi="Times New Roman" w:cs="Times New Roman"/>
          <w:sz w:val="24"/>
          <w:szCs w:val="24"/>
        </w:rPr>
        <w:t xml:space="preserve">, 0.01% TFA) at a rate </w:t>
      </w:r>
      <w:r w:rsidRPr="00D71BAE">
        <w:rPr>
          <w:rFonts w:ascii="Times New Roman" w:hAnsi="Times New Roman" w:cs="Times New Roman"/>
          <w:sz w:val="24"/>
          <w:szCs w:val="24"/>
        </w:rPr>
        <w:lastRenderedPageBreak/>
        <w:t xml:space="preserve">of 600 </w:t>
      </w:r>
      <w:proofErr w:type="spellStart"/>
      <w:r w:rsidRPr="00D71BAE">
        <w:rPr>
          <w:rFonts w:ascii="Times New Roman" w:hAnsi="Times New Roman" w:cs="Times New Roman"/>
          <w:sz w:val="24"/>
          <w:szCs w:val="24"/>
        </w:rPr>
        <w:t>nl</w:t>
      </w:r>
      <w:proofErr w:type="spellEnd"/>
      <w:r w:rsidRPr="00D71BAE">
        <w:rPr>
          <w:rFonts w:ascii="Times New Roman" w:hAnsi="Times New Roman" w:cs="Times New Roman"/>
          <w:sz w:val="24"/>
          <w:szCs w:val="24"/>
        </w:rPr>
        <w:t xml:space="preserve">/min, followed by a 10 minute gradient from 35%-100% buffer B. The column was re-equilibrated with an isocratic flow (5% buffer B) at 600 </w:t>
      </w:r>
      <w:proofErr w:type="spellStart"/>
      <w:r w:rsidRPr="00D71BAE">
        <w:rPr>
          <w:rFonts w:ascii="Times New Roman" w:hAnsi="Times New Roman" w:cs="Times New Roman"/>
          <w:sz w:val="24"/>
          <w:szCs w:val="24"/>
        </w:rPr>
        <w:t>nl</w:t>
      </w:r>
      <w:proofErr w:type="spellEnd"/>
      <w:r w:rsidRPr="00D71BAE">
        <w:rPr>
          <w:rFonts w:ascii="Times New Roman" w:hAnsi="Times New Roman" w:cs="Times New Roman"/>
          <w:sz w:val="24"/>
          <w:szCs w:val="24"/>
        </w:rPr>
        <w:t xml:space="preserve">/min.  </w:t>
      </w:r>
      <w:proofErr w:type="spellStart"/>
      <w:r w:rsidRPr="00D71BAE">
        <w:rPr>
          <w:rFonts w:ascii="Times New Roman" w:hAnsi="Times New Roman" w:cs="Times New Roman"/>
          <w:sz w:val="24"/>
          <w:szCs w:val="24"/>
        </w:rPr>
        <w:t>ChemStation</w:t>
      </w:r>
      <w:proofErr w:type="spellEnd"/>
      <w:r w:rsidRPr="00D71BAE">
        <w:rPr>
          <w:rFonts w:ascii="Times New Roman" w:hAnsi="Times New Roman" w:cs="Times New Roman"/>
          <w:sz w:val="24"/>
          <w:szCs w:val="24"/>
        </w:rPr>
        <w:t xml:space="preserve"> </w:t>
      </w:r>
      <w:proofErr w:type="spellStart"/>
      <w:r w:rsidRPr="00D71BAE">
        <w:rPr>
          <w:rFonts w:ascii="Times New Roman" w:hAnsi="Times New Roman" w:cs="Times New Roman"/>
          <w:sz w:val="24"/>
          <w:szCs w:val="24"/>
        </w:rPr>
        <w:t>software</w:t>
      </w:r>
      <w:r w:rsidR="00C968AA" w:rsidRPr="00D71BAE">
        <w:rPr>
          <w:sz w:val="24"/>
          <w:szCs w:val="24"/>
        </w:rPr>
        <w:fldChar w:fldCharType="begin"/>
      </w:r>
      <w:r w:rsidRPr="00D71BAE">
        <w:rPr>
          <w:sz w:val="24"/>
          <w:szCs w:val="24"/>
        </w:rPr>
        <w:instrText xml:space="preserve"> NOTEREF _Ref270686047 \h  \* MERGEFORMAT </w:instrText>
      </w:r>
      <w:r w:rsidR="00C968AA" w:rsidRPr="00D71BAE">
        <w:rPr>
          <w:sz w:val="24"/>
          <w:szCs w:val="24"/>
        </w:rPr>
      </w:r>
      <w:r w:rsidR="00C968AA" w:rsidRPr="00D71BAE">
        <w:rPr>
          <w:sz w:val="24"/>
          <w:szCs w:val="24"/>
        </w:rPr>
        <w:fldChar w:fldCharType="separate"/>
      </w:r>
      <w:r w:rsidRPr="00D71BAE">
        <w:rPr>
          <w:sz w:val="24"/>
          <w:szCs w:val="24"/>
        </w:rPr>
        <w:t>c</w:t>
      </w:r>
      <w:proofErr w:type="spellEnd"/>
      <w:r w:rsidR="00C968AA" w:rsidRPr="00D71BAE">
        <w:rPr>
          <w:sz w:val="24"/>
          <w:szCs w:val="24"/>
        </w:rPr>
        <w:fldChar w:fldCharType="end"/>
      </w:r>
      <w:r w:rsidRPr="00D71BAE">
        <w:rPr>
          <w:rFonts w:ascii="Times New Roman" w:hAnsi="Times New Roman" w:cs="Times New Roman"/>
          <w:sz w:val="24"/>
          <w:szCs w:val="24"/>
        </w:rPr>
        <w:t xml:space="preserve"> was used to control the system. LC-MS chromatograms were acquired in positive ion mode under the following conditions:  a capillary voltage of 1850 V and an end plate offset of 500 V. The dry temperature was set at 300°C.  Dry gas flow was maintained at 4 L/min.  Acquisition range was 350-2200 m/z with 0.15 second maximum accumulation time and scan speed of 8100 m/z per second.</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r>
      <w:r w:rsidRPr="00D71BAE">
        <w:rPr>
          <w:rFonts w:ascii="Times New Roman" w:hAnsi="Times New Roman" w:cs="Times New Roman"/>
          <w:i/>
          <w:sz w:val="24"/>
          <w:szCs w:val="24"/>
        </w:rPr>
        <w:t>LC-MS/MS Analysis.</w:t>
      </w:r>
      <w:r w:rsidRPr="00D71BAE">
        <w:rPr>
          <w:rFonts w:ascii="Times New Roman" w:hAnsi="Times New Roman" w:cs="Times New Roman"/>
          <w:sz w:val="24"/>
          <w:szCs w:val="24"/>
        </w:rPr>
        <w:t xml:space="preserve"> Tandem MS (MS/MS) analysis was performed on one horse from each group from the first baseline and the exposure testing periods. To identify differentially expressed peptides, automated MS/MS spectra were acquired during the run in the data-dependent acquisition mode with the selection of the three most abundant precursor ions (0.5 min active exclusion; 2+ ions preferred). The MS/MS files acquired on the ion trap mass spectrometer were uploaded to Spectrum Mill protein identification </w:t>
      </w:r>
      <w:proofErr w:type="spellStart"/>
      <w:r w:rsidRPr="00D71BAE">
        <w:rPr>
          <w:rFonts w:ascii="Times New Roman" w:hAnsi="Times New Roman" w:cs="Times New Roman"/>
          <w:sz w:val="24"/>
          <w:szCs w:val="24"/>
        </w:rPr>
        <w:t>software</w:t>
      </w:r>
      <w:r w:rsidR="00C968AA" w:rsidRPr="00D71BAE">
        <w:rPr>
          <w:sz w:val="24"/>
          <w:szCs w:val="24"/>
        </w:rPr>
        <w:fldChar w:fldCharType="begin"/>
      </w:r>
      <w:r w:rsidRPr="00D71BAE">
        <w:rPr>
          <w:sz w:val="24"/>
          <w:szCs w:val="24"/>
        </w:rPr>
        <w:instrText xml:space="preserve"> NOTEREF _Ref270686047 \h  \* MERGEFORMAT </w:instrText>
      </w:r>
      <w:r w:rsidR="00C968AA" w:rsidRPr="00D71BAE">
        <w:rPr>
          <w:sz w:val="24"/>
          <w:szCs w:val="24"/>
        </w:rPr>
      </w:r>
      <w:r w:rsidR="00C968AA" w:rsidRPr="00D71BAE">
        <w:rPr>
          <w:sz w:val="24"/>
          <w:szCs w:val="24"/>
        </w:rPr>
        <w:fldChar w:fldCharType="separate"/>
      </w:r>
      <w:r w:rsidRPr="00D71BAE">
        <w:rPr>
          <w:sz w:val="24"/>
          <w:szCs w:val="24"/>
        </w:rPr>
        <w:t>c</w:t>
      </w:r>
      <w:proofErr w:type="spellEnd"/>
      <w:r w:rsidR="00C968AA" w:rsidRPr="00D71BAE">
        <w:rPr>
          <w:sz w:val="24"/>
          <w:szCs w:val="24"/>
        </w:rPr>
        <w:fldChar w:fldCharType="end"/>
      </w:r>
      <w:r w:rsidRPr="00D71BAE">
        <w:rPr>
          <w:rFonts w:ascii="Times New Roman" w:hAnsi="Times New Roman" w:cs="Times New Roman"/>
          <w:sz w:val="24"/>
          <w:szCs w:val="24"/>
        </w:rPr>
        <w:t xml:space="preserve"> and searches were performed using Spectrum Mill and the NCBI database.</w:t>
      </w:r>
      <w:bookmarkStart w:id="1" w:name="_Ref292289221"/>
      <w:r w:rsidRPr="00D71BAE">
        <w:rPr>
          <w:rFonts w:ascii="Times New Roman" w:hAnsi="Times New Roman" w:cs="Times New Roman"/>
          <w:sz w:val="24"/>
          <w:szCs w:val="24"/>
          <w:vertAlign w:val="superscript"/>
        </w:rPr>
        <w:endnoteReference w:id="4"/>
      </w:r>
      <w:bookmarkEnd w:id="1"/>
      <w:r w:rsidRPr="00D71BAE">
        <w:rPr>
          <w:rFonts w:ascii="Times New Roman" w:hAnsi="Times New Roman" w:cs="Times New Roman"/>
          <w:sz w:val="24"/>
          <w:szCs w:val="24"/>
        </w:rPr>
        <w:t xml:space="preserve"> The search parameters were:  no more than two </w:t>
      </w:r>
      <w:proofErr w:type="spellStart"/>
      <w:r w:rsidRPr="00D71BAE">
        <w:rPr>
          <w:rFonts w:ascii="Times New Roman" w:hAnsi="Times New Roman" w:cs="Times New Roman"/>
          <w:sz w:val="24"/>
          <w:szCs w:val="24"/>
        </w:rPr>
        <w:t>tryptic</w:t>
      </w:r>
      <w:proofErr w:type="spellEnd"/>
      <w:r w:rsidRPr="00D71BAE">
        <w:rPr>
          <w:rFonts w:ascii="Times New Roman" w:hAnsi="Times New Roman" w:cs="Times New Roman"/>
          <w:sz w:val="24"/>
          <w:szCs w:val="24"/>
        </w:rPr>
        <w:t xml:space="preserve"> </w:t>
      </w:r>
      <w:proofErr w:type="spellStart"/>
      <w:r w:rsidRPr="00D71BAE">
        <w:rPr>
          <w:rFonts w:ascii="Times New Roman" w:hAnsi="Times New Roman" w:cs="Times New Roman"/>
          <w:sz w:val="24"/>
          <w:szCs w:val="24"/>
        </w:rPr>
        <w:t>miscleavages</w:t>
      </w:r>
      <w:proofErr w:type="spellEnd"/>
      <w:r w:rsidRPr="00D71BAE">
        <w:rPr>
          <w:rFonts w:ascii="Times New Roman" w:hAnsi="Times New Roman" w:cs="Times New Roman"/>
          <w:sz w:val="24"/>
          <w:szCs w:val="24"/>
        </w:rPr>
        <w:t xml:space="preserve"> allowed, </w:t>
      </w:r>
      <w:proofErr w:type="spellStart"/>
      <w:r w:rsidRPr="00D71BAE">
        <w:rPr>
          <w:rFonts w:ascii="Times New Roman" w:hAnsi="Times New Roman" w:cs="Times New Roman"/>
          <w:sz w:val="24"/>
          <w:szCs w:val="24"/>
        </w:rPr>
        <w:t>cysteine</w:t>
      </w:r>
      <w:proofErr w:type="spellEnd"/>
      <w:r w:rsidRPr="00D71BAE">
        <w:rPr>
          <w:rFonts w:ascii="Times New Roman" w:hAnsi="Times New Roman" w:cs="Times New Roman"/>
          <w:sz w:val="24"/>
          <w:szCs w:val="24"/>
        </w:rPr>
        <w:t xml:space="preserve"> searched as ethanol </w:t>
      </w:r>
      <w:proofErr w:type="spellStart"/>
      <w:r w:rsidRPr="00D71BAE">
        <w:rPr>
          <w:rFonts w:ascii="Times New Roman" w:hAnsi="Times New Roman" w:cs="Times New Roman"/>
          <w:sz w:val="24"/>
          <w:szCs w:val="24"/>
        </w:rPr>
        <w:t>cysteine</w:t>
      </w:r>
      <w:proofErr w:type="spellEnd"/>
      <w:r w:rsidRPr="00D71BAE">
        <w:rPr>
          <w:rFonts w:ascii="Times New Roman" w:hAnsi="Times New Roman" w:cs="Times New Roman"/>
          <w:sz w:val="24"/>
          <w:szCs w:val="24"/>
        </w:rPr>
        <w:t xml:space="preserve">, variable oxidized </w:t>
      </w:r>
      <w:proofErr w:type="spellStart"/>
      <w:r w:rsidRPr="00D71BAE">
        <w:rPr>
          <w:rFonts w:ascii="Times New Roman" w:hAnsi="Times New Roman" w:cs="Times New Roman"/>
          <w:sz w:val="24"/>
          <w:szCs w:val="24"/>
        </w:rPr>
        <w:t>methionine</w:t>
      </w:r>
      <w:proofErr w:type="spellEnd"/>
      <w:r w:rsidRPr="00D71BAE">
        <w:rPr>
          <w:rFonts w:ascii="Times New Roman" w:hAnsi="Times New Roman" w:cs="Times New Roman"/>
          <w:sz w:val="24"/>
          <w:szCs w:val="24"/>
        </w:rPr>
        <w:t xml:space="preserve">, 2.5 </w:t>
      </w:r>
      <w:proofErr w:type="spellStart"/>
      <w:r w:rsidRPr="00D71BAE">
        <w:rPr>
          <w:rFonts w:ascii="Times New Roman" w:hAnsi="Times New Roman" w:cs="Times New Roman"/>
          <w:sz w:val="24"/>
          <w:szCs w:val="24"/>
        </w:rPr>
        <w:t>Da</w:t>
      </w:r>
      <w:proofErr w:type="spellEnd"/>
      <w:r w:rsidRPr="00D71BAE">
        <w:rPr>
          <w:rFonts w:ascii="Times New Roman" w:hAnsi="Times New Roman" w:cs="Times New Roman"/>
          <w:sz w:val="24"/>
          <w:szCs w:val="24"/>
        </w:rPr>
        <w:t xml:space="preserve"> peptide tolerance, and 0.7 </w:t>
      </w:r>
      <w:proofErr w:type="spellStart"/>
      <w:r w:rsidRPr="00D71BAE">
        <w:rPr>
          <w:rFonts w:ascii="Times New Roman" w:hAnsi="Times New Roman" w:cs="Times New Roman"/>
          <w:sz w:val="24"/>
          <w:szCs w:val="24"/>
        </w:rPr>
        <w:t>Da</w:t>
      </w:r>
      <w:proofErr w:type="spellEnd"/>
      <w:r w:rsidRPr="00D71BAE">
        <w:rPr>
          <w:rFonts w:ascii="Times New Roman" w:hAnsi="Times New Roman" w:cs="Times New Roman"/>
          <w:sz w:val="24"/>
          <w:szCs w:val="24"/>
        </w:rPr>
        <w:t xml:space="preserve"> mass tolerance. Only peptides with a score of 5 or higher were considered true positives.</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r>
      <w:r w:rsidRPr="00D71BAE">
        <w:rPr>
          <w:rFonts w:ascii="Times New Roman" w:hAnsi="Times New Roman" w:cs="Times New Roman"/>
          <w:i/>
          <w:sz w:val="24"/>
          <w:szCs w:val="24"/>
        </w:rPr>
        <w:t>Peak Identification.</w:t>
      </w:r>
      <w:r w:rsidRPr="00D71BAE">
        <w:rPr>
          <w:rFonts w:ascii="Times New Roman" w:hAnsi="Times New Roman" w:cs="Times New Roman"/>
          <w:sz w:val="24"/>
          <w:szCs w:val="24"/>
        </w:rPr>
        <w:t xml:space="preserve"> The LC-MS/MS data obtained from one heaves-affected horse and one control horse were uploaded into Spectrum Mill and searched against the NCBI non-redundant mammalian protein database and the NCBI non-redundant equine protein database. The PDP peak data and the Spectrum Mill peptide data were aligned by merging the output files from the PDP statistical analysis and Spectrum Mill peptide identification for each horse into one file, and a list of potential peptide identifications was made for the peaks based on m/z and </w:t>
      </w:r>
      <w:r w:rsidRPr="00D71BAE">
        <w:rPr>
          <w:rFonts w:ascii="Times New Roman" w:hAnsi="Times New Roman" w:cs="Times New Roman"/>
          <w:sz w:val="24"/>
          <w:szCs w:val="24"/>
        </w:rPr>
        <w:lastRenderedPageBreak/>
        <w:t xml:space="preserve">retention time. As the LC-MS data (used for the PDP) and LC-MS/MS data (used for Spectrum Mill) are not exactly the same, the m/z and retention time data from the two output files were slightly different. First, peaks (PDP data) were aligned with potential peptide identifications (Spectrum Mill data) within ± 3 </w:t>
      </w:r>
      <w:proofErr w:type="spellStart"/>
      <w:r w:rsidRPr="00D71BAE">
        <w:rPr>
          <w:rFonts w:ascii="Times New Roman" w:hAnsi="Times New Roman" w:cs="Times New Roman"/>
          <w:sz w:val="24"/>
          <w:szCs w:val="24"/>
        </w:rPr>
        <w:t>Da</w:t>
      </w:r>
      <w:proofErr w:type="spellEnd"/>
      <w:r w:rsidRPr="00D71BAE">
        <w:rPr>
          <w:rFonts w:ascii="Times New Roman" w:hAnsi="Times New Roman" w:cs="Times New Roman"/>
          <w:sz w:val="24"/>
          <w:szCs w:val="24"/>
        </w:rPr>
        <w:t xml:space="preserve"> and ± 3 minutes for the RT. Each peak was then manually reviewed in the spectra and evaluated for charge. For each potential identification, the charge of the peptide (from the Spectrum Mill data) was compared with the charge of the peak (manual spectra review). Any peak with an incorrect charge was deleted. From this list, the peak with the same charge as the peptide and the closest m/z and retention time was chosen as the best match for that peptide. Finally, for any peaks that were matched to more than one peptide, a single peptide was selected based on the highest Spectrum Mill score and percent scored peak intensity (% SPI) and the lowest Spectrum Mill reverse score.</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r>
      <w:r w:rsidRPr="00D71BAE">
        <w:rPr>
          <w:rFonts w:ascii="Times New Roman" w:hAnsi="Times New Roman" w:cs="Times New Roman"/>
          <w:i/>
          <w:sz w:val="24"/>
          <w:szCs w:val="24"/>
        </w:rPr>
        <w:t>Western blot.</w:t>
      </w:r>
      <w:r w:rsidRPr="00D71BAE">
        <w:rPr>
          <w:rFonts w:ascii="Times New Roman" w:hAnsi="Times New Roman" w:cs="Times New Roman"/>
          <w:sz w:val="24"/>
          <w:szCs w:val="24"/>
        </w:rPr>
        <w:t xml:space="preserve"> All Western blots were performed according to the manufacturer’s recommendations.</w:t>
      </w:r>
      <w:r w:rsidRPr="00D71BAE">
        <w:rPr>
          <w:rStyle w:val="EndnoteReference"/>
          <w:rFonts w:ascii="Times New Roman" w:hAnsi="Times New Roman" w:cs="Times New Roman"/>
          <w:sz w:val="24"/>
          <w:szCs w:val="24"/>
        </w:rPr>
        <w:endnoteReference w:id="5"/>
      </w:r>
      <w:r w:rsidRPr="00D71BAE">
        <w:rPr>
          <w:rFonts w:ascii="Times New Roman" w:hAnsi="Times New Roman" w:cs="Times New Roman"/>
          <w:sz w:val="24"/>
          <w:szCs w:val="24"/>
        </w:rPr>
        <w:t xml:space="preserve"> Western blots were performed using 2 µg of protein from each sample. Ten BALF samples were more dilute than 0.2 µg/µL, and 2 µg of protein from these samples was a larger volume than 10 µL (largest volume able to be used in the mini gels). These samples were concentrated on a 1K molecular weight cut-off filter.</w:t>
      </w:r>
      <w:r w:rsidRPr="00D71BAE">
        <w:rPr>
          <w:rFonts w:ascii="Times New Roman" w:hAnsi="Times New Roman" w:cs="Times New Roman"/>
          <w:sz w:val="24"/>
          <w:szCs w:val="24"/>
          <w:vertAlign w:val="superscript"/>
        </w:rPr>
        <w:endnoteReference w:id="6"/>
      </w:r>
      <w:r w:rsidRPr="00D71BAE">
        <w:rPr>
          <w:rFonts w:ascii="Times New Roman" w:hAnsi="Times New Roman" w:cs="Times New Roman"/>
          <w:sz w:val="24"/>
          <w:szCs w:val="24"/>
        </w:rPr>
        <w:t xml:space="preserve"> Samples were centrifuged at 2750 x </w:t>
      </w:r>
      <w:r w:rsidRPr="00D71BAE">
        <w:rPr>
          <w:rFonts w:ascii="Times New Roman" w:hAnsi="Times New Roman" w:cs="Times New Roman"/>
          <w:i/>
          <w:sz w:val="24"/>
          <w:szCs w:val="24"/>
        </w:rPr>
        <w:t>g</w:t>
      </w:r>
      <w:r w:rsidRPr="00D71BAE">
        <w:rPr>
          <w:rFonts w:ascii="Times New Roman" w:hAnsi="Times New Roman" w:cs="Times New Roman"/>
          <w:sz w:val="24"/>
          <w:szCs w:val="24"/>
        </w:rPr>
        <w:t xml:space="preserve"> in order to achieve a concentration of approximately 0.2-0.3 µg/µL. Protein concentration was measured before and after sample concentration with a BCA Assay. Electrophoresis was performed at 200 Volts for approximately 30 minutes. The transfer was performed at 30 Volts for one hour. Following transfer, the nitrocellulose membrane was air-dried for 60 minutes, then blocked with 5% normal horse serum (NHS) for 45 minutes. The membrane was washed twice in </w:t>
      </w:r>
      <w:proofErr w:type="spellStart"/>
      <w:r w:rsidRPr="00D71BAE">
        <w:rPr>
          <w:rFonts w:ascii="Times New Roman" w:hAnsi="Times New Roman" w:cs="Times New Roman"/>
          <w:sz w:val="24"/>
          <w:szCs w:val="24"/>
        </w:rPr>
        <w:t>Tris</w:t>
      </w:r>
      <w:proofErr w:type="spellEnd"/>
      <w:r w:rsidRPr="00D71BAE">
        <w:rPr>
          <w:rFonts w:ascii="Times New Roman" w:hAnsi="Times New Roman" w:cs="Times New Roman"/>
          <w:sz w:val="24"/>
          <w:szCs w:val="24"/>
        </w:rPr>
        <w:t xml:space="preserve">-buffered saline (TBS)-Tween20 (0.1%) for five minutes each time. The primary antibody </w:t>
      </w:r>
      <w:r w:rsidRPr="00D71BAE">
        <w:rPr>
          <w:rFonts w:ascii="Times New Roman" w:hAnsi="Times New Roman" w:cs="Times New Roman"/>
          <w:sz w:val="24"/>
          <w:szCs w:val="24"/>
        </w:rPr>
        <w:lastRenderedPageBreak/>
        <w:t xml:space="preserve">was diluted in 19.9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TBS-Tween20 (0.1%) and 0.1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NHS to the appropriate dilution. The membrane was incubated in the primary antibody overnight at 4 </w:t>
      </w:r>
      <w:proofErr w:type="spellStart"/>
      <w:r w:rsidRPr="00D71BAE">
        <w:rPr>
          <w:rFonts w:ascii="Times New Roman" w:hAnsi="Times New Roman" w:cs="Times New Roman"/>
          <w:sz w:val="24"/>
          <w:szCs w:val="24"/>
          <w:vertAlign w:val="superscript"/>
        </w:rPr>
        <w:t>o</w:t>
      </w:r>
      <w:r w:rsidRPr="00D71BAE">
        <w:rPr>
          <w:rFonts w:ascii="Times New Roman" w:hAnsi="Times New Roman" w:cs="Times New Roman"/>
          <w:sz w:val="24"/>
          <w:szCs w:val="24"/>
        </w:rPr>
        <w:t>C</w:t>
      </w:r>
      <w:proofErr w:type="spellEnd"/>
      <w:r w:rsidRPr="00D71BAE">
        <w:rPr>
          <w:rFonts w:ascii="Times New Roman" w:hAnsi="Times New Roman" w:cs="Times New Roman"/>
          <w:sz w:val="24"/>
          <w:szCs w:val="24"/>
        </w:rPr>
        <w:t xml:space="preserve"> with gentle rocking.</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t xml:space="preserve">The following morning, the membrane was washed four times in TBS-Tween20 (0.1%) for 5 minutes, 5 minutes, 10 minutes, and 15 minutes. The secondary antibody was diluted in 19.9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TBS-Tween20 0.1% and 0.1 </w:t>
      </w:r>
      <w:proofErr w:type="spellStart"/>
      <w:r w:rsidRPr="00D71BAE">
        <w:rPr>
          <w:rFonts w:ascii="Times New Roman" w:hAnsi="Times New Roman" w:cs="Times New Roman"/>
          <w:sz w:val="24"/>
          <w:szCs w:val="24"/>
        </w:rPr>
        <w:t>mL</w:t>
      </w:r>
      <w:proofErr w:type="spellEnd"/>
      <w:r w:rsidRPr="00D71BAE">
        <w:rPr>
          <w:rFonts w:ascii="Times New Roman" w:hAnsi="Times New Roman" w:cs="Times New Roman"/>
          <w:sz w:val="24"/>
          <w:szCs w:val="24"/>
        </w:rPr>
        <w:t xml:space="preserve"> NHS to the appropriate dilution. The membrane was incubated in the secondary antibody for 60 minutes at room temperature. The membrane was washed four times in TBS-Tween20 (0.1%) for 5 minutes, 5 minutes, 10 minutes, and 15 minutes.  </w:t>
      </w:r>
    </w:p>
    <w:p w:rsidR="005F1AFB" w:rsidRPr="00D71BAE" w:rsidRDefault="005F1AFB" w:rsidP="005F1AFB">
      <w:pPr>
        <w:spacing w:after="0" w:line="480" w:lineRule="auto"/>
        <w:rPr>
          <w:rFonts w:ascii="Times New Roman" w:hAnsi="Times New Roman" w:cs="Times New Roman"/>
          <w:sz w:val="24"/>
          <w:szCs w:val="24"/>
        </w:rPr>
      </w:pPr>
      <w:r w:rsidRPr="00D71BAE">
        <w:rPr>
          <w:rFonts w:ascii="Times New Roman" w:hAnsi="Times New Roman" w:cs="Times New Roman"/>
          <w:sz w:val="24"/>
          <w:szCs w:val="24"/>
        </w:rPr>
        <w:tab/>
        <w:t>Western Blotting reagents</w:t>
      </w:r>
      <w:r w:rsidRPr="00D71BAE">
        <w:rPr>
          <w:rFonts w:ascii="Times New Roman" w:hAnsi="Times New Roman" w:cs="Times New Roman"/>
          <w:sz w:val="24"/>
          <w:szCs w:val="24"/>
          <w:vertAlign w:val="superscript"/>
        </w:rPr>
        <w:endnoteReference w:id="7"/>
      </w:r>
      <w:r w:rsidRPr="00D71BAE">
        <w:rPr>
          <w:rFonts w:ascii="Times New Roman" w:hAnsi="Times New Roman" w:cs="Times New Roman"/>
          <w:sz w:val="24"/>
          <w:szCs w:val="24"/>
        </w:rPr>
        <w:t xml:space="preserve"> were warmed to room temperature and used for development of the blot. The reagents were poured over the membrane and incubated for 60 seconds.  The excess reagent was poured off the membrane, and the membrane was exposed to </w:t>
      </w:r>
      <w:proofErr w:type="spellStart"/>
      <w:r w:rsidRPr="00D71BAE">
        <w:rPr>
          <w:rFonts w:ascii="Times New Roman" w:hAnsi="Times New Roman" w:cs="Times New Roman"/>
          <w:sz w:val="24"/>
          <w:szCs w:val="24"/>
        </w:rPr>
        <w:t>chemiluminescence</w:t>
      </w:r>
      <w:proofErr w:type="spellEnd"/>
      <w:r w:rsidRPr="00D71BAE">
        <w:rPr>
          <w:rFonts w:ascii="Times New Roman" w:hAnsi="Times New Roman" w:cs="Times New Roman"/>
          <w:sz w:val="24"/>
          <w:szCs w:val="24"/>
        </w:rPr>
        <w:t xml:space="preserve"> film</w:t>
      </w:r>
      <w:r w:rsidRPr="00D71BAE">
        <w:rPr>
          <w:rFonts w:ascii="Times New Roman" w:hAnsi="Times New Roman" w:cs="Times New Roman"/>
          <w:sz w:val="24"/>
          <w:szCs w:val="24"/>
          <w:vertAlign w:val="superscript"/>
        </w:rPr>
        <w:endnoteReference w:id="8"/>
      </w:r>
      <w:r w:rsidRPr="00D71BAE">
        <w:rPr>
          <w:rFonts w:ascii="Times New Roman" w:hAnsi="Times New Roman" w:cs="Times New Roman"/>
          <w:sz w:val="24"/>
          <w:szCs w:val="24"/>
        </w:rPr>
        <w:t xml:space="preserve"> at room temperature. The films were developed with a standard x-ray developer. </w:t>
      </w:r>
      <w:proofErr w:type="spellStart"/>
      <w:r w:rsidRPr="00D71BAE">
        <w:rPr>
          <w:rFonts w:ascii="Times New Roman" w:hAnsi="Times New Roman" w:cs="Times New Roman"/>
          <w:sz w:val="24"/>
          <w:szCs w:val="24"/>
        </w:rPr>
        <w:t>ImageJ</w:t>
      </w:r>
      <w:proofErr w:type="spellEnd"/>
      <w:r w:rsidRPr="00D71BAE">
        <w:rPr>
          <w:rFonts w:ascii="Times New Roman" w:hAnsi="Times New Roman" w:cs="Times New Roman"/>
          <w:sz w:val="24"/>
          <w:szCs w:val="24"/>
        </w:rPr>
        <w:t xml:space="preserve"> </w:t>
      </w:r>
      <w:proofErr w:type="spellStart"/>
      <w:r w:rsidRPr="00D71BAE">
        <w:rPr>
          <w:rFonts w:ascii="Times New Roman" w:hAnsi="Times New Roman" w:cs="Times New Roman"/>
          <w:sz w:val="24"/>
          <w:szCs w:val="24"/>
        </w:rPr>
        <w:t>software</w:t>
      </w:r>
      <w:r w:rsidR="00C968AA" w:rsidRPr="00D71BAE">
        <w:rPr>
          <w:sz w:val="24"/>
          <w:szCs w:val="24"/>
        </w:rPr>
        <w:fldChar w:fldCharType="begin"/>
      </w:r>
      <w:r w:rsidRPr="00D71BAE">
        <w:rPr>
          <w:sz w:val="24"/>
          <w:szCs w:val="24"/>
        </w:rPr>
        <w:instrText xml:space="preserve"> NOTEREF _Ref292289221 \h  \* MERGEFORMAT </w:instrText>
      </w:r>
      <w:r w:rsidR="00C968AA" w:rsidRPr="00D71BAE">
        <w:rPr>
          <w:sz w:val="24"/>
          <w:szCs w:val="24"/>
        </w:rPr>
      </w:r>
      <w:r w:rsidR="00C968AA" w:rsidRPr="00D71BAE">
        <w:rPr>
          <w:sz w:val="24"/>
          <w:szCs w:val="24"/>
        </w:rPr>
        <w:fldChar w:fldCharType="separate"/>
      </w:r>
      <w:r w:rsidRPr="00D71BAE">
        <w:rPr>
          <w:sz w:val="24"/>
          <w:szCs w:val="24"/>
        </w:rPr>
        <w:t>d</w:t>
      </w:r>
      <w:proofErr w:type="spellEnd"/>
      <w:r w:rsidR="00C968AA" w:rsidRPr="00D71BAE">
        <w:rPr>
          <w:sz w:val="24"/>
          <w:szCs w:val="24"/>
        </w:rPr>
        <w:fldChar w:fldCharType="end"/>
      </w:r>
      <w:r w:rsidRPr="00D71BAE">
        <w:rPr>
          <w:rFonts w:ascii="Times New Roman" w:hAnsi="Times New Roman" w:cs="Times New Roman"/>
          <w:sz w:val="24"/>
          <w:szCs w:val="24"/>
        </w:rPr>
        <w:t xml:space="preserve"> was used to quantify the density of the bands from the protein of interest on each Western blot. </w:t>
      </w:r>
    </w:p>
    <w:p w:rsidR="00A92310" w:rsidRPr="00D71BAE" w:rsidRDefault="00A92310">
      <w:pPr>
        <w:rPr>
          <w:sz w:val="24"/>
          <w:szCs w:val="24"/>
        </w:rPr>
      </w:pPr>
    </w:p>
    <w:sectPr w:rsidR="00A92310" w:rsidRPr="00D71BAE" w:rsidSect="00A92310">
      <w:endnotePr>
        <w:numFmt w:val="lowerLetter"/>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E83" w:rsidRDefault="004B1E83" w:rsidP="005F1AFB">
      <w:pPr>
        <w:spacing w:after="0" w:line="240" w:lineRule="auto"/>
      </w:pPr>
      <w:r>
        <w:separator/>
      </w:r>
    </w:p>
  </w:endnote>
  <w:endnote w:type="continuationSeparator" w:id="0">
    <w:p w:rsidR="004B1E83" w:rsidRDefault="004B1E83" w:rsidP="005F1AFB">
      <w:pPr>
        <w:spacing w:after="0" w:line="240" w:lineRule="auto"/>
      </w:pPr>
      <w:r>
        <w:continuationSeparator/>
      </w:r>
    </w:p>
  </w:endnote>
  <w:endnote w:id="1">
    <w:p w:rsidR="005F1AFB" w:rsidRPr="00300154" w:rsidRDefault="005F1AFB" w:rsidP="005F1AFB">
      <w:pPr>
        <w:pStyle w:val="EndnoteText"/>
        <w:rPr>
          <w:rFonts w:ascii="Times New Roman" w:hAnsi="Times New Roman" w:cs="Times New Roman"/>
          <w:sz w:val="18"/>
          <w:szCs w:val="18"/>
        </w:rPr>
      </w:pPr>
      <w:r w:rsidRPr="00300154">
        <w:rPr>
          <w:rStyle w:val="EndnoteReference"/>
          <w:rFonts w:ascii="Times New Roman" w:hAnsi="Times New Roman" w:cs="Times New Roman"/>
          <w:sz w:val="18"/>
          <w:szCs w:val="18"/>
        </w:rPr>
        <w:endnoteRef/>
      </w:r>
      <w:r w:rsidRPr="00300154">
        <w:rPr>
          <w:rFonts w:ascii="Times New Roman" w:hAnsi="Times New Roman" w:cs="Times New Roman"/>
          <w:sz w:val="18"/>
          <w:szCs w:val="18"/>
        </w:rPr>
        <w:t xml:space="preserve"> </w:t>
      </w:r>
      <w:r w:rsidRPr="00300154">
        <w:rPr>
          <w:rFonts w:ascii="Times New Roman" w:hAnsi="Times New Roman" w:cs="Times New Roman"/>
          <w:color w:val="000000"/>
          <w:sz w:val="18"/>
          <w:szCs w:val="18"/>
        </w:rPr>
        <w:t>Thermo Scientific Pierce BCA Protein Assay Kit, Thermo Fisher Scientific, Inc., Rockford, IL</w:t>
      </w:r>
    </w:p>
  </w:endnote>
  <w:endnote w:id="2">
    <w:p w:rsidR="005F1AFB" w:rsidRPr="00300154" w:rsidRDefault="005F1AFB" w:rsidP="005F1AFB">
      <w:pPr>
        <w:pStyle w:val="EndnoteText"/>
        <w:rPr>
          <w:rFonts w:ascii="Times New Roman" w:hAnsi="Times New Roman" w:cs="Times New Roman"/>
          <w:sz w:val="18"/>
          <w:szCs w:val="18"/>
        </w:rPr>
      </w:pPr>
      <w:r w:rsidRPr="00300154">
        <w:rPr>
          <w:rStyle w:val="EndnoteReference"/>
          <w:rFonts w:ascii="Times New Roman" w:hAnsi="Times New Roman" w:cs="Times New Roman"/>
          <w:sz w:val="18"/>
          <w:szCs w:val="18"/>
        </w:rPr>
        <w:endnoteRef/>
      </w:r>
      <w:r w:rsidRPr="00300154">
        <w:rPr>
          <w:rFonts w:ascii="Times New Roman" w:hAnsi="Times New Roman" w:cs="Times New Roman"/>
          <w:sz w:val="18"/>
          <w:szCs w:val="18"/>
        </w:rPr>
        <w:t xml:space="preserve"> C-18 </w:t>
      </w:r>
      <w:proofErr w:type="spellStart"/>
      <w:r w:rsidRPr="00300154">
        <w:rPr>
          <w:rFonts w:ascii="Times New Roman" w:hAnsi="Times New Roman" w:cs="Times New Roman"/>
          <w:sz w:val="18"/>
          <w:szCs w:val="18"/>
        </w:rPr>
        <w:t>Vydac</w:t>
      </w:r>
      <w:proofErr w:type="spellEnd"/>
      <w:r w:rsidRPr="00300154">
        <w:rPr>
          <w:rFonts w:ascii="Times New Roman" w:hAnsi="Times New Roman" w:cs="Times New Roman"/>
          <w:sz w:val="18"/>
          <w:szCs w:val="18"/>
        </w:rPr>
        <w:t>, 300 A, The Nest Group, Southborough, MA</w:t>
      </w:r>
    </w:p>
  </w:endnote>
  <w:endnote w:id="3">
    <w:p w:rsidR="005F1AFB" w:rsidRPr="00300154" w:rsidRDefault="005F1AFB" w:rsidP="005F1AFB">
      <w:pPr>
        <w:pStyle w:val="EndnoteText"/>
        <w:rPr>
          <w:rFonts w:ascii="Times New Roman" w:hAnsi="Times New Roman" w:cs="Times New Roman"/>
          <w:sz w:val="18"/>
          <w:szCs w:val="18"/>
        </w:rPr>
      </w:pPr>
      <w:r w:rsidRPr="00300154">
        <w:rPr>
          <w:rStyle w:val="EndnoteReference"/>
          <w:rFonts w:ascii="Times New Roman" w:hAnsi="Times New Roman" w:cs="Times New Roman"/>
          <w:sz w:val="18"/>
          <w:szCs w:val="18"/>
        </w:rPr>
        <w:endnoteRef/>
      </w:r>
      <w:r w:rsidRPr="00300154">
        <w:rPr>
          <w:rFonts w:ascii="Times New Roman" w:hAnsi="Times New Roman" w:cs="Times New Roman"/>
          <w:sz w:val="18"/>
          <w:szCs w:val="18"/>
        </w:rPr>
        <w:t xml:space="preserve"> </w:t>
      </w:r>
      <w:r w:rsidRPr="002060C3">
        <w:rPr>
          <w:rFonts w:ascii="Times New Roman" w:hAnsi="Times New Roman" w:cs="Times New Roman"/>
          <w:sz w:val="18"/>
          <w:szCs w:val="18"/>
        </w:rPr>
        <w:t>1100 Series LC eq</w:t>
      </w:r>
      <w:r>
        <w:rPr>
          <w:rFonts w:ascii="Times New Roman" w:hAnsi="Times New Roman" w:cs="Times New Roman"/>
          <w:sz w:val="18"/>
          <w:szCs w:val="18"/>
        </w:rPr>
        <w:t xml:space="preserve">uipped with HPLC Chip interface; </w:t>
      </w:r>
      <w:r w:rsidRPr="00F35D7D">
        <w:rPr>
          <w:rFonts w:ascii="Times New Roman" w:hAnsi="Times New Roman" w:cs="Times New Roman"/>
          <w:sz w:val="18"/>
          <w:szCs w:val="18"/>
        </w:rPr>
        <w:t>ZORBAX 300SB-C18 analytical</w:t>
      </w:r>
      <w:r>
        <w:rPr>
          <w:rFonts w:ascii="Times New Roman" w:hAnsi="Times New Roman" w:cs="Times New Roman"/>
          <w:sz w:val="18"/>
          <w:szCs w:val="18"/>
        </w:rPr>
        <w:t xml:space="preserve"> column; </w:t>
      </w:r>
      <w:r w:rsidRPr="00300154">
        <w:rPr>
          <w:rFonts w:ascii="Times New Roman" w:hAnsi="Times New Roman" w:cs="Times New Roman"/>
          <w:sz w:val="18"/>
          <w:szCs w:val="18"/>
        </w:rPr>
        <w:t>Agilent, Santa Clara, CA</w:t>
      </w:r>
    </w:p>
  </w:endnote>
  <w:endnote w:id="4">
    <w:p w:rsidR="005F1AFB" w:rsidRPr="00300154" w:rsidRDefault="005F1AFB" w:rsidP="005F1AFB">
      <w:pPr>
        <w:pStyle w:val="EndnoteText"/>
        <w:rPr>
          <w:rFonts w:ascii="Times New Roman" w:hAnsi="Times New Roman" w:cs="Times New Roman"/>
          <w:sz w:val="18"/>
          <w:szCs w:val="18"/>
        </w:rPr>
      </w:pPr>
      <w:r w:rsidRPr="00300154">
        <w:rPr>
          <w:rStyle w:val="EndnoteReference"/>
          <w:rFonts w:ascii="Times New Roman" w:hAnsi="Times New Roman" w:cs="Times New Roman"/>
          <w:sz w:val="18"/>
          <w:szCs w:val="18"/>
        </w:rPr>
        <w:endnoteRef/>
      </w:r>
      <w:r w:rsidRPr="00300154">
        <w:rPr>
          <w:rFonts w:ascii="Times New Roman" w:hAnsi="Times New Roman" w:cs="Times New Roman"/>
          <w:sz w:val="18"/>
          <w:szCs w:val="18"/>
        </w:rPr>
        <w:t xml:space="preserve"> National Institutes of Health, Bethesda, MD</w:t>
      </w:r>
    </w:p>
  </w:endnote>
  <w:endnote w:id="5">
    <w:p w:rsidR="005F1AFB" w:rsidRPr="008B6500" w:rsidRDefault="005F1AFB" w:rsidP="005F1AFB">
      <w:pPr>
        <w:pStyle w:val="EndnoteText"/>
        <w:rPr>
          <w:rFonts w:ascii="Times New Roman" w:hAnsi="Times New Roman" w:cs="Times New Roman"/>
          <w:sz w:val="18"/>
          <w:szCs w:val="18"/>
        </w:rPr>
      </w:pPr>
      <w:r w:rsidRPr="008B6500">
        <w:rPr>
          <w:rStyle w:val="EndnoteReference"/>
          <w:rFonts w:ascii="Times New Roman" w:hAnsi="Times New Roman" w:cs="Times New Roman"/>
          <w:sz w:val="18"/>
          <w:szCs w:val="18"/>
        </w:rPr>
        <w:endnoteRef/>
      </w:r>
      <w:r w:rsidRPr="008B6500">
        <w:rPr>
          <w:rFonts w:ascii="Times New Roman" w:hAnsi="Times New Roman" w:cs="Times New Roman"/>
          <w:sz w:val="18"/>
          <w:szCs w:val="18"/>
        </w:rPr>
        <w:t xml:space="preserve"> </w:t>
      </w:r>
      <w:proofErr w:type="spellStart"/>
      <w:r w:rsidRPr="008B6500">
        <w:rPr>
          <w:rFonts w:ascii="Times New Roman" w:hAnsi="Times New Roman" w:cs="Times New Roman"/>
          <w:sz w:val="18"/>
          <w:szCs w:val="18"/>
        </w:rPr>
        <w:t>XCell</w:t>
      </w:r>
      <w:proofErr w:type="spellEnd"/>
      <w:r w:rsidRPr="008B6500">
        <w:rPr>
          <w:rFonts w:ascii="Times New Roman" w:hAnsi="Times New Roman" w:cs="Times New Roman"/>
          <w:sz w:val="18"/>
          <w:szCs w:val="18"/>
        </w:rPr>
        <w:t xml:space="preserve"> </w:t>
      </w:r>
      <w:proofErr w:type="spellStart"/>
      <w:r w:rsidRPr="008B6500">
        <w:rPr>
          <w:rFonts w:ascii="Times New Roman" w:hAnsi="Times New Roman" w:cs="Times New Roman"/>
          <w:sz w:val="18"/>
          <w:szCs w:val="18"/>
        </w:rPr>
        <w:t>SureLock</w:t>
      </w:r>
      <w:proofErr w:type="spellEnd"/>
      <w:r w:rsidRPr="008B6500">
        <w:rPr>
          <w:rFonts w:ascii="Times New Roman" w:hAnsi="Times New Roman" w:cs="Times New Roman"/>
          <w:sz w:val="18"/>
          <w:szCs w:val="18"/>
        </w:rPr>
        <w:t xml:space="preserve">™ Mini-Cell and </w:t>
      </w:r>
      <w:proofErr w:type="spellStart"/>
      <w:r w:rsidRPr="008B6500">
        <w:rPr>
          <w:rFonts w:ascii="Times New Roman" w:hAnsi="Times New Roman" w:cs="Times New Roman"/>
          <w:sz w:val="18"/>
          <w:szCs w:val="18"/>
        </w:rPr>
        <w:t>XCell</w:t>
      </w:r>
      <w:proofErr w:type="spellEnd"/>
      <w:r w:rsidRPr="008B6500">
        <w:rPr>
          <w:rFonts w:ascii="Times New Roman" w:hAnsi="Times New Roman" w:cs="Times New Roman"/>
          <w:sz w:val="18"/>
          <w:szCs w:val="18"/>
        </w:rPr>
        <w:t xml:space="preserve"> II™ Blot Module, </w:t>
      </w:r>
      <w:proofErr w:type="spellStart"/>
      <w:r w:rsidRPr="008B6500">
        <w:rPr>
          <w:rFonts w:ascii="Times New Roman" w:hAnsi="Times New Roman" w:cs="Times New Roman"/>
          <w:sz w:val="18"/>
          <w:szCs w:val="18"/>
        </w:rPr>
        <w:t>Invitrogen</w:t>
      </w:r>
      <w:proofErr w:type="spellEnd"/>
      <w:r w:rsidRPr="008B6500">
        <w:rPr>
          <w:rFonts w:ascii="Times New Roman" w:hAnsi="Times New Roman" w:cs="Times New Roman"/>
          <w:sz w:val="18"/>
          <w:szCs w:val="18"/>
        </w:rPr>
        <w:t>, Carlsbad, CA</w:t>
      </w:r>
    </w:p>
  </w:endnote>
  <w:endnote w:id="6">
    <w:p w:rsidR="005F1AFB" w:rsidRPr="00300154" w:rsidRDefault="005F1AFB" w:rsidP="005F1AFB">
      <w:pPr>
        <w:pStyle w:val="EndnoteText"/>
        <w:rPr>
          <w:rFonts w:ascii="Times New Roman" w:hAnsi="Times New Roman" w:cs="Times New Roman"/>
          <w:sz w:val="18"/>
          <w:szCs w:val="18"/>
        </w:rPr>
      </w:pPr>
      <w:r w:rsidRPr="00300154">
        <w:rPr>
          <w:rStyle w:val="EndnoteReference"/>
          <w:rFonts w:ascii="Times New Roman" w:hAnsi="Times New Roman" w:cs="Times New Roman"/>
          <w:sz w:val="18"/>
          <w:szCs w:val="18"/>
        </w:rPr>
        <w:endnoteRef/>
      </w:r>
      <w:r w:rsidRPr="00300154">
        <w:rPr>
          <w:rFonts w:ascii="Times New Roman" w:hAnsi="Times New Roman" w:cs="Times New Roman"/>
          <w:sz w:val="18"/>
          <w:szCs w:val="18"/>
        </w:rPr>
        <w:t xml:space="preserve"> Pall Life Sciences, Ann Arbor, MI</w:t>
      </w:r>
    </w:p>
  </w:endnote>
  <w:endnote w:id="7">
    <w:p w:rsidR="005F1AFB" w:rsidRPr="00300154" w:rsidRDefault="005F1AFB" w:rsidP="005F1AFB">
      <w:pPr>
        <w:pStyle w:val="EndnoteText"/>
        <w:rPr>
          <w:rFonts w:ascii="Times New Roman" w:hAnsi="Times New Roman" w:cs="Times New Roman"/>
          <w:sz w:val="18"/>
          <w:szCs w:val="18"/>
        </w:rPr>
      </w:pPr>
      <w:r w:rsidRPr="00300154">
        <w:rPr>
          <w:rStyle w:val="EndnoteReference"/>
          <w:rFonts w:ascii="Times New Roman" w:hAnsi="Times New Roman" w:cs="Times New Roman"/>
          <w:sz w:val="18"/>
          <w:szCs w:val="18"/>
        </w:rPr>
        <w:endnoteRef/>
      </w:r>
      <w:r w:rsidRPr="00300154">
        <w:rPr>
          <w:rFonts w:ascii="Times New Roman" w:hAnsi="Times New Roman" w:cs="Times New Roman"/>
          <w:sz w:val="18"/>
          <w:szCs w:val="18"/>
        </w:rPr>
        <w:t xml:space="preserve"> </w:t>
      </w:r>
      <w:proofErr w:type="spellStart"/>
      <w:r w:rsidRPr="00300154">
        <w:rPr>
          <w:rFonts w:ascii="Times New Roman" w:hAnsi="Times New Roman" w:cs="Times New Roman"/>
          <w:sz w:val="18"/>
          <w:szCs w:val="18"/>
        </w:rPr>
        <w:t>Amersham</w:t>
      </w:r>
      <w:proofErr w:type="spellEnd"/>
      <w:r w:rsidRPr="00300154">
        <w:rPr>
          <w:rFonts w:ascii="Times New Roman" w:hAnsi="Times New Roman" w:cs="Times New Roman"/>
          <w:sz w:val="18"/>
          <w:szCs w:val="18"/>
        </w:rPr>
        <w:t>™ ECL™ Western Blotting Analysis System Reagents, GE Healthcare, Piscataway, NJ</w:t>
      </w:r>
    </w:p>
  </w:endnote>
  <w:endnote w:id="8">
    <w:p w:rsidR="005F1AFB" w:rsidRPr="00300154" w:rsidRDefault="005F1AFB" w:rsidP="005F1AFB">
      <w:pPr>
        <w:pStyle w:val="EndnoteText"/>
        <w:rPr>
          <w:rFonts w:ascii="Times New Roman" w:hAnsi="Times New Roman" w:cs="Times New Roman"/>
          <w:sz w:val="18"/>
          <w:szCs w:val="18"/>
        </w:rPr>
      </w:pPr>
      <w:r w:rsidRPr="00300154">
        <w:rPr>
          <w:rStyle w:val="EndnoteReference"/>
          <w:rFonts w:ascii="Times New Roman" w:hAnsi="Times New Roman" w:cs="Times New Roman"/>
          <w:sz w:val="18"/>
          <w:szCs w:val="18"/>
        </w:rPr>
        <w:endnoteRef/>
      </w:r>
      <w:r w:rsidRPr="00300154">
        <w:rPr>
          <w:rFonts w:ascii="Times New Roman" w:hAnsi="Times New Roman" w:cs="Times New Roman"/>
          <w:sz w:val="18"/>
          <w:szCs w:val="18"/>
        </w:rPr>
        <w:t xml:space="preserve"> Kodak, Rochester, NY</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E83" w:rsidRDefault="004B1E83" w:rsidP="005F1AFB">
      <w:pPr>
        <w:spacing w:after="0" w:line="240" w:lineRule="auto"/>
      </w:pPr>
      <w:r>
        <w:separator/>
      </w:r>
    </w:p>
  </w:footnote>
  <w:footnote w:type="continuationSeparator" w:id="0">
    <w:p w:rsidR="004B1E83" w:rsidRDefault="004B1E83" w:rsidP="005F1A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numFmt w:val="lowerLetter"/>
    <w:endnote w:id="-1"/>
    <w:endnote w:id="0"/>
  </w:endnotePr>
  <w:compat/>
  <w:rsids>
    <w:rsidRoot w:val="005F1AFB"/>
    <w:rsid w:val="00297FB7"/>
    <w:rsid w:val="003E39B5"/>
    <w:rsid w:val="0047719D"/>
    <w:rsid w:val="004B1E83"/>
    <w:rsid w:val="005F1AFB"/>
    <w:rsid w:val="008C35B3"/>
    <w:rsid w:val="00A92310"/>
    <w:rsid w:val="00C968AA"/>
    <w:rsid w:val="00D25A41"/>
    <w:rsid w:val="00D71BAE"/>
    <w:rsid w:val="00E564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AFB"/>
    <w:pPr>
      <w:spacing w:after="20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F1AF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1AFB"/>
    <w:rPr>
      <w:rFonts w:eastAsiaTheme="minorEastAsia"/>
      <w:sz w:val="20"/>
      <w:szCs w:val="20"/>
    </w:rPr>
  </w:style>
  <w:style w:type="character" w:styleId="EndnoteReference">
    <w:name w:val="endnote reference"/>
    <w:basedOn w:val="DefaultParagraphFont"/>
    <w:uiPriority w:val="99"/>
    <w:semiHidden/>
    <w:unhideWhenUsed/>
    <w:rsid w:val="005F1AF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1393</Words>
  <Characters>7941</Characters>
  <Application>Microsoft Office Word</Application>
  <DocSecurity>0</DocSecurity>
  <Lines>66</Lines>
  <Paragraphs>18</Paragraphs>
  <ScaleCrop>false</ScaleCrop>
  <Company/>
  <LinksUpToDate>false</LinksUpToDate>
  <CharactersWithSpaces>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Marybeth Feutz</dc:creator>
  <cp:lastModifiedBy>Marybeth Feutz</cp:lastModifiedBy>
  <cp:revision>2</cp:revision>
  <dcterms:created xsi:type="dcterms:W3CDTF">2012-09-20T19:50:00Z</dcterms:created>
  <dcterms:modified xsi:type="dcterms:W3CDTF">2012-09-20T19:50:00Z</dcterms:modified>
</cp:coreProperties>
</file>